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C979A1" w:rsidTr="00C979A1">
        <w:trPr>
          <w:trHeight w:val="2552"/>
        </w:trPr>
        <w:tc>
          <w:tcPr>
            <w:tcW w:w="4962" w:type="dxa"/>
          </w:tcPr>
          <w:p w:rsidR="00C979A1" w:rsidRDefault="00C979A1" w:rsidP="00F55AE3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C979A1" w:rsidRDefault="00C979A1" w:rsidP="00F55AE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C979A1" w:rsidRDefault="00C979A1" w:rsidP="00F55AE3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C979A1" w:rsidRDefault="00C979A1" w:rsidP="00F55AE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C979A1" w:rsidRDefault="00C979A1" w:rsidP="00F55AE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</w:p>
          <w:p w:rsidR="00C979A1" w:rsidRDefault="00C979A1" w:rsidP="00F55AE3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C979A1" w:rsidRDefault="00C979A1" w:rsidP="00F55AE3">
            <w:pPr>
              <w:rPr>
                <w:noProof/>
                <w:lang w:eastAsia="ru-RU"/>
              </w:rPr>
            </w:pPr>
          </w:p>
          <w:p w:rsidR="00C979A1" w:rsidRDefault="00C979A1" w:rsidP="00F55AE3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979A1" w:rsidRDefault="00C979A1" w:rsidP="00F55AE3">
            <w:pPr>
              <w:jc w:val="center"/>
              <w:rPr>
                <w:b/>
                <w:bCs/>
              </w:rPr>
            </w:pP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C979A1" w:rsidRDefault="00C979A1" w:rsidP="00F55AE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C979A1" w:rsidRDefault="00C979A1" w:rsidP="00F55AE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C979A1" w:rsidRDefault="00C979A1" w:rsidP="00F55AE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</w:p>
        </w:tc>
      </w:tr>
    </w:tbl>
    <w:p w:rsidR="00C979A1" w:rsidRDefault="00C979A1" w:rsidP="00C979A1">
      <w:pPr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1216025</wp:posOffset>
                </wp:positionV>
                <wp:extent cx="6933565" cy="0"/>
                <wp:effectExtent l="0" t="19050" r="19685" b="3810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9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pt,95.75pt" to="517.6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" strokeweight="4.5pt">
                <v:stroke linestyle="thickThin"/>
              </v:line>
            </w:pict>
          </mc:Fallback>
        </mc:AlternateContent>
      </w:r>
      <w:r>
        <w:rPr>
          <w:b/>
        </w:rPr>
        <w:t xml:space="preserve">          </w:t>
      </w:r>
      <w:r>
        <w:rPr>
          <w:b/>
          <w:sz w:val="26"/>
          <w:szCs w:val="26"/>
          <w:lang w:val="en-US"/>
        </w:rPr>
        <w:t>K</w:t>
      </w:r>
      <w:r>
        <w:rPr>
          <w:b/>
          <w:sz w:val="26"/>
          <w:szCs w:val="26"/>
        </w:rPr>
        <w:t>АРАР                                                                      П О С Т А Н О В Л Е Н И Е</w:t>
      </w:r>
    </w:p>
    <w:p w:rsidR="00C979A1" w:rsidRDefault="00C979A1" w:rsidP="00C979A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«30» декабрь 2013 й.                              №   60                        «30» декабря 2013 г. 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«Об утверждении муниципальной целевой программы «Развитие жилищно-коммунального хозяйства сельского поселения Тятер-Араслановский сельсовет  муниципального района Стерлибашевский район Республики Башкортостан</w:t>
      </w:r>
      <w:r>
        <w:rPr>
          <w:bCs/>
          <w:color w:val="1E1E1E"/>
          <w:sz w:val="28"/>
          <w:szCs w:val="28"/>
        </w:rPr>
        <w:t xml:space="preserve"> </w:t>
      </w:r>
      <w:r>
        <w:rPr>
          <w:bCs/>
          <w:color w:val="1E1E1E"/>
          <w:sz w:val="28"/>
          <w:szCs w:val="28"/>
        </w:rPr>
        <w:t>в 2014-2016 годах»»</w:t>
      </w: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В соответствии с Федеральным законом </w:t>
      </w:r>
      <w:r>
        <w:rPr>
          <w:sz w:val="28"/>
          <w:szCs w:val="28"/>
        </w:rPr>
        <w:t xml:space="preserve">от 06 октября 2003 года № 131-ФЗ "Об общих принципах организации местного самоуправления в Российской Федерации", Уставом сельского поселения </w:t>
      </w:r>
      <w:r>
        <w:rPr>
          <w:bCs/>
          <w:color w:val="1E1E1E"/>
          <w:sz w:val="28"/>
          <w:szCs w:val="28"/>
        </w:rPr>
        <w:t>Тятер-Араслановский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ПОСТАНОВЛЯЕТ: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1.Утвердить муниципальную целевую программу «Развитие жилищно-коммунального хозяйства  сельского поселения </w:t>
      </w:r>
      <w:r>
        <w:rPr>
          <w:bCs/>
          <w:color w:val="1E1E1E"/>
          <w:sz w:val="28"/>
          <w:szCs w:val="28"/>
        </w:rPr>
        <w:t>Тятер-Араслановский</w:t>
      </w:r>
      <w:r>
        <w:rPr>
          <w:color w:val="1E1E1E"/>
          <w:sz w:val="28"/>
          <w:szCs w:val="28"/>
        </w:rPr>
        <w:t xml:space="preserve"> сельсовет муниципального района Стерлибашевский район Республики Башкортостан в 2014-2016 годах»» (приложение № 1).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сельского поселения в сети Интернет.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 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Глава сельского поселения</w:t>
      </w: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Тятер-Араслановский </w:t>
      </w:r>
      <w:r>
        <w:rPr>
          <w:color w:val="1E1E1E"/>
          <w:sz w:val="28"/>
          <w:szCs w:val="28"/>
        </w:rPr>
        <w:t xml:space="preserve">сельсовет                                   С.С. Гумеров                                        </w:t>
      </w: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20"/>
          <w:szCs w:val="20"/>
        </w:rPr>
      </w:pPr>
      <w:bookmarkStart w:id="0" w:name="_GoBack"/>
      <w:bookmarkEnd w:id="0"/>
      <w:r>
        <w:rPr>
          <w:color w:val="1E1E1E"/>
          <w:sz w:val="20"/>
          <w:szCs w:val="20"/>
        </w:rPr>
        <w:lastRenderedPageBreak/>
        <w:t>Приложение</w:t>
      </w: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 постановлению главы</w:t>
      </w: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 сельского поселения</w:t>
      </w: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20"/>
          <w:szCs w:val="20"/>
        </w:rPr>
      </w:pPr>
      <w:r>
        <w:rPr>
          <w:bCs/>
          <w:color w:val="1E1E1E"/>
          <w:sz w:val="20"/>
          <w:szCs w:val="20"/>
        </w:rPr>
        <w:t xml:space="preserve">Тятер-Араслановский </w:t>
      </w:r>
      <w:r>
        <w:rPr>
          <w:color w:val="1E1E1E"/>
          <w:sz w:val="20"/>
          <w:szCs w:val="20"/>
        </w:rPr>
        <w:t>сельсовет</w:t>
      </w: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от «30» декабря 2013 года № 60 </w:t>
      </w: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right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Муниципальная целевая программа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«Развитие жилищно-коммунального хозяйства</w:t>
      </w:r>
    </w:p>
    <w:p w:rsidR="00C979A1" w:rsidRDefault="00C979A1" w:rsidP="00C979A1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сельского поселения Тятер-Араслановский сельсовет муниципального района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 xml:space="preserve"> Стерлибашевский район Республики Башкортостан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в 2014-2016 годах»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  <w:sz w:val="17"/>
          <w:szCs w:val="17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Паспорт муниципальной целевой программы</w:t>
      </w:r>
    </w:p>
    <w:p w:rsidR="00C979A1" w:rsidRDefault="00C979A1" w:rsidP="00C979A1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«Развитие жилищно-коммунального хозяйства</w:t>
      </w:r>
    </w:p>
    <w:p w:rsidR="00C979A1" w:rsidRDefault="00C979A1" w:rsidP="00C979A1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сельского поселения Тятер-Араслановский сельсовет муниципального района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 xml:space="preserve"> Стерлибашевский район Республики Башкортостан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в 2014-2016 годах»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tbl>
      <w:tblPr>
        <w:tblW w:w="9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5388"/>
      </w:tblGrid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Тятер-Араслановский</w:t>
            </w:r>
            <w:r>
              <w:rPr>
                <w:bCs/>
                <w:color w:val="1E1E1E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1E1E1E"/>
              </w:rPr>
              <w:t>сельсовет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Администрация сельского поселения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Тятер-Араслановский сельсовет муниципального района Стерлибашевский район Республики Башкортостан</w:t>
            </w:r>
          </w:p>
        </w:tc>
      </w:tr>
      <w:tr w:rsidR="00C979A1" w:rsidTr="00C979A1">
        <w:trPr>
          <w:trHeight w:val="2988"/>
        </w:trPr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Наименование программы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     Развитие жилищно-коммунального хозяйства сельского поселения </w:t>
            </w:r>
            <w:r>
              <w:rPr>
                <w:bCs/>
                <w:color w:val="1E1E1E"/>
              </w:rPr>
              <w:t>Тятер-Араслановский</w:t>
            </w:r>
            <w:r>
              <w:rPr>
                <w:color w:val="1E1E1E"/>
              </w:rPr>
              <w:t xml:space="preserve"> сельсовет муниципального района Стерлибашевский район Республики Башкортостан в 2014-2016 годах</w:t>
            </w:r>
          </w:p>
          <w:p w:rsidR="00C979A1" w:rsidRDefault="00C979A1" w:rsidP="00F55AE3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1. Развитие объектов внешнего благоустройства территории населенных пунктов</w:t>
            </w:r>
          </w:p>
          <w:p w:rsidR="00C979A1" w:rsidRDefault="00C979A1" w:rsidP="00F55AE3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2. Модернизация системы и объектов коммунальной инфраструктуры</w:t>
            </w:r>
          </w:p>
          <w:p w:rsidR="00C979A1" w:rsidRDefault="00C979A1" w:rsidP="00F55AE3">
            <w:pPr>
              <w:spacing w:line="204" w:lineRule="atLeast"/>
              <w:jc w:val="both"/>
              <w:rPr>
                <w:color w:val="1E1E1E"/>
              </w:rPr>
            </w:pPr>
            <w:r>
              <w:rPr>
                <w:color w:val="1E1E1E"/>
              </w:rPr>
              <w:t>3. Модернизация системы наружного освещения населенных пунктов сельского поселения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Дата утверждения муниципальной целевой программы, номер нормативно-правового акта об утверждении программы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Постановление администрации сельского поселения </w:t>
            </w:r>
            <w:r>
              <w:rPr>
                <w:bCs/>
                <w:color w:val="1E1E1E"/>
              </w:rPr>
              <w:t>Тятер-Араслановский</w:t>
            </w:r>
            <w:r>
              <w:rPr>
                <w:color w:val="1E1E1E"/>
              </w:rPr>
              <w:t xml:space="preserve"> сельсовет муниципального района Стерлибашевский район Республики Башкортостан от «30» декабря 2013 г. № 60</w:t>
            </w: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Цели и задачи программы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Цель: создание условий для комфортного проживания граждан на территории сельского поселения </w:t>
            </w:r>
            <w:r>
              <w:rPr>
                <w:bCs/>
                <w:color w:val="1E1E1E"/>
              </w:rPr>
              <w:t>Тятер-Араслановский</w:t>
            </w:r>
            <w:r>
              <w:rPr>
                <w:color w:val="1E1E1E"/>
              </w:rPr>
              <w:t xml:space="preserve"> сельсовет.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Задачи: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Благоустройство территории сельского поселения </w:t>
            </w:r>
            <w:r>
              <w:rPr>
                <w:bCs/>
                <w:color w:val="1E1E1E"/>
              </w:rPr>
              <w:t>Тятер-Араслановский</w:t>
            </w:r>
            <w:r>
              <w:rPr>
                <w:color w:val="1E1E1E"/>
              </w:rPr>
              <w:t xml:space="preserve"> сельсовет.</w:t>
            </w: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Основные направления реализации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1. Оплата за освещение улиц населенных пунктов </w:t>
            </w:r>
            <w:r>
              <w:rPr>
                <w:color w:val="1E1E1E"/>
              </w:rPr>
              <w:lastRenderedPageBreak/>
              <w:t>сельского поселения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2. Электромонтажные работы уличного освещения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3. Ремонт и содержание объектов благоустройства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4. Содержание мест захоронения</w:t>
            </w: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2014 – 2016 годы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Объемы и источники финансирования  программы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Всего на реализацию программы необходимо: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2014 г. – 315,0 тыс. рублей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2015 г. – 415,0 тыс. рублей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2016 г. – 415,0 тыс. рублей </w:t>
            </w:r>
          </w:p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>
              <w:rPr>
                <w:bCs/>
                <w:color w:val="1E1E1E"/>
              </w:rPr>
              <w:t>Тятер-Араслановский</w:t>
            </w:r>
            <w:r>
              <w:rPr>
                <w:color w:val="1E1E1E"/>
              </w:rPr>
              <w:t xml:space="preserve"> сельсовет.</w:t>
            </w: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Обеспечение </w:t>
            </w:r>
            <w:proofErr w:type="gramStart"/>
            <w:r>
              <w:rPr>
                <w:color w:val="1E1E1E"/>
              </w:rPr>
              <w:t>повышения качества жизни населения сельского поселения</w:t>
            </w:r>
            <w:proofErr w:type="gramEnd"/>
            <w:r>
              <w:rPr>
                <w:color w:val="1E1E1E"/>
              </w:rPr>
              <w:t xml:space="preserve"> </w:t>
            </w:r>
            <w:r>
              <w:rPr>
                <w:bCs/>
                <w:color w:val="1E1E1E"/>
              </w:rPr>
              <w:t>Тятер-Араслановский</w:t>
            </w:r>
            <w:r>
              <w:rPr>
                <w:color w:val="1E1E1E"/>
              </w:rPr>
              <w:t xml:space="preserve"> сельсовет.</w:t>
            </w:r>
          </w:p>
        </w:tc>
      </w:tr>
    </w:tbl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 Подготовка программы «Развитие жилищно-коммунального хозяйства сельского поселения </w:t>
      </w:r>
      <w:r>
        <w:rPr>
          <w:bCs/>
          <w:color w:val="1E1E1E"/>
        </w:rPr>
        <w:t>Тятер-Араслановский</w:t>
      </w:r>
      <w:r>
        <w:rPr>
          <w:color w:val="1E1E1E"/>
        </w:rPr>
        <w:t xml:space="preserve"> сельсовет муниципального района Стерлибашевский район Республики Башкортостан в 2014-2016 годах» направлена на создание комфортной среды проживания, обеспечения перспективы развития территории  сельского поселения </w:t>
      </w:r>
      <w:r>
        <w:rPr>
          <w:bCs/>
          <w:color w:val="1E1E1E"/>
        </w:rPr>
        <w:t>Тятер-Араслановский</w:t>
      </w:r>
      <w:r>
        <w:rPr>
          <w:color w:val="1E1E1E"/>
        </w:rPr>
        <w:t xml:space="preserve"> сельсовет муниципального района Стерлибашевский район Республики Башкортостан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</w:p>
    <w:p w:rsidR="00C979A1" w:rsidRDefault="00C979A1" w:rsidP="00C979A1">
      <w:pPr>
        <w:numPr>
          <w:ilvl w:val="0"/>
          <w:numId w:val="9"/>
        </w:numPr>
        <w:suppressAutoHyphens w:val="0"/>
        <w:spacing w:line="204" w:lineRule="atLeast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 xml:space="preserve">Характеристика проблем, на решение которых направлена </w:t>
      </w:r>
    </w:p>
    <w:p w:rsidR="00C979A1" w:rsidRDefault="00C979A1" w:rsidP="00C979A1">
      <w:pPr>
        <w:spacing w:line="204" w:lineRule="atLeast"/>
        <w:ind w:left="48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муниципальная целевая программа</w:t>
      </w:r>
    </w:p>
    <w:p w:rsidR="00C979A1" w:rsidRDefault="00C979A1" w:rsidP="00C979A1">
      <w:pPr>
        <w:spacing w:line="204" w:lineRule="atLeast"/>
        <w:ind w:left="48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  Для определения комплекса проблем, подлежащих программному решению, проведен анализ существующего положения в комплексном благоустройстве сельского поселения.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Ненадлежащее состояние систем водоснабжения создает социальную напряженность населения. В целях обеспечения нормальной жизнедеятельности требуется проведение ряда мероприятий, связанных с капитальным и текущим ремонтом объектов водоснабжения.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Существующие участки зеленых насаждений в виде парков, скверов и других мест общего пользования недостаточно благоустроены, нуждаются в постоянном уходе (вырезка поросли, уборка аварийных и старых деревьев, подсадка саженцев, разбивка клумб). Для решения этой проблемы необходимо, чтобы работы по озеленению выполнялись специалистами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Одной из проблем благоустройства поселения является негативное отношение жителей к элементам благоустройства: приводится в негодность общественное имущество, создаются несанкционированные свалки мусора.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Одним из вариантов решения этой проблемы является организация и проведение конкурса "Лучший дом, двор, улица". Жители улицы, принимавшие участие в благоустройстве, будут принимать участие в обеспечении сохранности объектов благоустройства.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Осуществление мер по стимулированию наиболее активных участников благоустройства - это награждение почетными грамотами, выполнение адресных мероприятий по обустройству территории по заявкам победителей и участников конкурса.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В целях улучшения внешнего облика территории поселения необходимо продолжать восстановление и новое строительство детских игровых площадок, установку малых архитектурных форм, ремонт памятников архитектуры и т.д.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Разработка и реализация Программы позволит улучшить внешний облик сельского поселения, повысить уровень благоустройства и санитарного состояния территорий, комфортного проживания жителей сельского поселения.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2. Цели и задачи Программы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Целью Программы является создание условий для комфортного проживания граждан на территории сельского поселения.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Для достижения целей Программы предлагается решить следующие задачи: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благоустройство территории сельского поселения.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поселения.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.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3.Ожидаемые результаты от реализации программы,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целевые показатели программы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  Реализация мероприятий, </w:t>
      </w:r>
      <w:proofErr w:type="gramStart"/>
      <w:r>
        <w:rPr>
          <w:color w:val="1E1E1E"/>
        </w:rPr>
        <w:t>предусмотренных</w:t>
      </w:r>
      <w:proofErr w:type="gramEnd"/>
      <w:r>
        <w:rPr>
          <w:color w:val="1E1E1E"/>
        </w:rPr>
        <w:t xml:space="preserve"> программой, предполагает достичь: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1.Улучшения внешнего благоустройства, озеленения и санитарного состояния улиц.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2.Обеспечение уличным освещением всех улиц сельского поселения.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3.Ремонт коммунальной инфраструктуры;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4. Содержание мест захоронения;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1368"/>
        <w:gridCol w:w="1368"/>
        <w:gridCol w:w="1368"/>
      </w:tblGrid>
      <w:tr w:rsidR="00C979A1" w:rsidTr="00C979A1">
        <w:trPr>
          <w:trHeight w:val="276"/>
          <w:jc w:val="center"/>
        </w:trPr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целевых индикаторов</w:t>
            </w: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</w:p>
          <w:p w:rsidR="00C979A1" w:rsidRDefault="00C979A1" w:rsidP="00F55AE3">
            <w:pPr>
              <w:jc w:val="center"/>
              <w:rPr>
                <w:b/>
                <w:bCs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показатели, тыс. руб.</w:t>
            </w:r>
          </w:p>
        </w:tc>
      </w:tr>
      <w:tr w:rsidR="00C979A1" w:rsidTr="00C979A1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A1" w:rsidRDefault="00C979A1" w:rsidP="00F55AE3">
            <w:pPr>
              <w:suppressAutoHyphens w:val="0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C979A1" w:rsidTr="00C979A1">
        <w:trPr>
          <w:trHeight w:val="549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r>
              <w:t>Модернизация и содержание системы коммунальной инфраструктуры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255,0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415,0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415,0</w:t>
            </w:r>
          </w:p>
        </w:tc>
      </w:tr>
      <w:tr w:rsidR="00C979A1" w:rsidTr="00C979A1">
        <w:trPr>
          <w:trHeight w:val="541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r>
              <w:t>Модернизация систем наружного освещения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0,0</w:t>
            </w:r>
          </w:p>
        </w:tc>
      </w:tr>
      <w:tr w:rsidR="00C979A1" w:rsidTr="00C979A1">
        <w:trPr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r>
              <w:t>Содержание мест захоронения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A1" w:rsidRDefault="00C979A1" w:rsidP="00F55AE3">
            <w:pPr>
              <w:jc w:val="center"/>
            </w:pPr>
            <w:r>
              <w:t>0,0</w:t>
            </w:r>
          </w:p>
        </w:tc>
      </w:tr>
    </w:tbl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 xml:space="preserve">4. Перечень и описание </w:t>
      </w:r>
      <w:proofErr w:type="gramStart"/>
      <w:r>
        <w:rPr>
          <w:b/>
          <w:bCs/>
          <w:color w:val="1E1E1E"/>
        </w:rPr>
        <w:t>программных</w:t>
      </w:r>
      <w:proofErr w:type="gramEnd"/>
      <w:r>
        <w:rPr>
          <w:b/>
          <w:bCs/>
          <w:color w:val="1E1E1E"/>
        </w:rPr>
        <w:t xml:space="preserve"> мероприятий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4.1. Основными мероприятиями Программы являются: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уличное освещение;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организация и содержание мест захоронения;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содержание мест общего пользования;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ремонт систем водоснабжения;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проведение конкурса по благоустройству территории;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В ходе исполнения Программы могут быть внесены изменения по перечню мероприятий и объему работ.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5. Сроки реализации программы 2014– 2016 годы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6. Оценка эффективности расходования бюджетных средств.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 xml:space="preserve">Реализация </w:t>
      </w:r>
      <w:proofErr w:type="gramStart"/>
      <w:r>
        <w:rPr>
          <w:color w:val="1E1E1E"/>
        </w:rPr>
        <w:t>программных</w:t>
      </w:r>
      <w:proofErr w:type="gramEnd"/>
      <w:r>
        <w:rPr>
          <w:color w:val="1E1E1E"/>
        </w:rPr>
        <w:t xml:space="preserve"> мероприятий по благоустройству территории сельского поселения предполагает: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-достигнуть активного участия населения сельского поселения в благоустройстве территории поселения;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- обеспечить качество жизни населения сельского поселения.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 xml:space="preserve">7. Методика оценки эффективности </w:t>
      </w:r>
      <w:proofErr w:type="gramStart"/>
      <w:r>
        <w:rPr>
          <w:b/>
          <w:bCs/>
          <w:color w:val="1E1E1E"/>
        </w:rPr>
        <w:t>программных</w:t>
      </w:r>
      <w:proofErr w:type="gramEnd"/>
      <w:r>
        <w:rPr>
          <w:b/>
          <w:bCs/>
          <w:color w:val="1E1E1E"/>
        </w:rPr>
        <w:t xml:space="preserve"> мероприятий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Оценка эффективности реализации Программы осуществляется на основе использования системы целевых показателей и индикаторов,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мероприятий. Оценка эффективности реализации Программы по каждому целевому показателя и индикатору проводится путем сравнения фактически достигнутого значения показателя (индикатора) с его целевым значением, утвержденным на год, и определяется по следующей формуле: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proofErr w:type="spellStart"/>
      <w:r>
        <w:rPr>
          <w:color w:val="1E1E1E"/>
        </w:rPr>
        <w:t>Э</w:t>
      </w:r>
      <w:r>
        <w:rPr>
          <w:color w:val="1E1E1E"/>
          <w:vertAlign w:val="subscript"/>
        </w:rPr>
        <w:t>п</w:t>
      </w:r>
      <w:proofErr w:type="spellEnd"/>
      <w:r>
        <w:rPr>
          <w:color w:val="1E1E1E"/>
          <w:vertAlign w:val="subscript"/>
        </w:rPr>
        <w:t> </w:t>
      </w:r>
      <w:r>
        <w:rPr>
          <w:color w:val="1E1E1E"/>
        </w:rPr>
        <w:t xml:space="preserve">= </w:t>
      </w:r>
      <w:proofErr w:type="spellStart"/>
      <w:r>
        <w:rPr>
          <w:color w:val="1E1E1E"/>
        </w:rPr>
        <w:t>И</w:t>
      </w:r>
      <w:r>
        <w:rPr>
          <w:color w:val="1E1E1E"/>
          <w:vertAlign w:val="subscript"/>
        </w:rPr>
        <w:t>ф</w:t>
      </w:r>
      <w:proofErr w:type="spellEnd"/>
      <w:r>
        <w:rPr>
          <w:color w:val="1E1E1E"/>
          <w:vertAlign w:val="subscript"/>
        </w:rPr>
        <w:t> </w:t>
      </w:r>
      <w:r>
        <w:rPr>
          <w:color w:val="1E1E1E"/>
        </w:rPr>
        <w:t>* 100</w:t>
      </w:r>
      <w:proofErr w:type="gramStart"/>
      <w:r>
        <w:rPr>
          <w:color w:val="1E1E1E"/>
        </w:rPr>
        <w:t xml:space="preserve"> % </w:t>
      </w:r>
      <w:r>
        <w:rPr>
          <w:b/>
          <w:bCs/>
          <w:color w:val="1E1E1E"/>
        </w:rPr>
        <w:t>/</w:t>
      </w:r>
      <w:r>
        <w:rPr>
          <w:color w:val="1E1E1E"/>
        </w:rPr>
        <w:t> И</w:t>
      </w:r>
      <w:proofErr w:type="gramEnd"/>
      <w:r>
        <w:rPr>
          <w:color w:val="1E1E1E"/>
          <w:vertAlign w:val="subscript"/>
        </w:rPr>
        <w:t>н</w:t>
      </w:r>
      <w:r>
        <w:rPr>
          <w:color w:val="1E1E1E"/>
        </w:rPr>
        <w:t>, где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proofErr w:type="spellStart"/>
      <w:r>
        <w:rPr>
          <w:color w:val="1E1E1E"/>
        </w:rPr>
        <w:t>Э</w:t>
      </w:r>
      <w:r>
        <w:rPr>
          <w:color w:val="1E1E1E"/>
          <w:vertAlign w:val="subscript"/>
        </w:rPr>
        <w:t>п</w:t>
      </w:r>
      <w:proofErr w:type="spellEnd"/>
      <w:r>
        <w:rPr>
          <w:color w:val="1E1E1E"/>
          <w:vertAlign w:val="subscript"/>
        </w:rPr>
        <w:t> </w:t>
      </w:r>
      <w:r>
        <w:rPr>
          <w:color w:val="1E1E1E"/>
        </w:rPr>
        <w:t>- эффективность реализации Программы по каждому показателю (индикатору);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proofErr w:type="spellStart"/>
      <w:r>
        <w:rPr>
          <w:color w:val="1E1E1E"/>
        </w:rPr>
        <w:t>И</w:t>
      </w:r>
      <w:r>
        <w:rPr>
          <w:color w:val="1E1E1E"/>
          <w:vertAlign w:val="subscript"/>
        </w:rPr>
        <w:t>ф</w:t>
      </w:r>
      <w:proofErr w:type="spellEnd"/>
      <w:r>
        <w:rPr>
          <w:color w:val="1E1E1E"/>
        </w:rPr>
        <w:t> – фактически достигнутое значение показателя (индикатора);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И</w:t>
      </w:r>
      <w:r>
        <w:rPr>
          <w:color w:val="1E1E1E"/>
          <w:vertAlign w:val="subscript"/>
        </w:rPr>
        <w:t>н </w:t>
      </w:r>
      <w:r>
        <w:rPr>
          <w:color w:val="1E1E1E"/>
        </w:rPr>
        <w:t>– нормативное значение показателя (индикатора), утвержденного Программой.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8.Обоснование потребностей в необходимых ресурсах.</w:t>
      </w: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Общий объем финансирования Программы составляет 22840,46 тыс. руб. Источником финансирования является Республиканский бюджет, местный бюджет.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tbl>
      <w:tblPr>
        <w:tblW w:w="9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016"/>
        <w:gridCol w:w="2516"/>
        <w:gridCol w:w="714"/>
        <w:gridCol w:w="714"/>
        <w:gridCol w:w="714"/>
      </w:tblGrid>
      <w:tr w:rsidR="00C979A1" w:rsidTr="00C979A1"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№ </w:t>
            </w:r>
            <w:proofErr w:type="gramStart"/>
            <w:r>
              <w:rPr>
                <w:b/>
                <w:bCs/>
                <w:color w:val="1E1E1E"/>
              </w:rPr>
              <w:t>п</w:t>
            </w:r>
            <w:proofErr w:type="gramEnd"/>
            <w:r>
              <w:rPr>
                <w:b/>
                <w:bCs/>
                <w:color w:val="1E1E1E"/>
              </w:rPr>
              <w:t>/п</w:t>
            </w:r>
          </w:p>
        </w:tc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Объемы финансирования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(тыс. руб.)</w:t>
            </w:r>
          </w:p>
        </w:tc>
      </w:tr>
      <w:tr w:rsidR="00C979A1" w:rsidTr="00C979A1">
        <w:tc>
          <w:tcPr>
            <w:tcW w:w="0" w:type="auto"/>
            <w:vMerge/>
            <w:vAlign w:val="center"/>
            <w:hideMark/>
          </w:tcPr>
          <w:p w:rsidR="00C979A1" w:rsidRDefault="00C979A1" w:rsidP="00F55AE3">
            <w:pPr>
              <w:suppressAutoHyphens w:val="0"/>
              <w:rPr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9A1" w:rsidRDefault="00C979A1" w:rsidP="00F55AE3">
            <w:pPr>
              <w:suppressAutoHyphens w:val="0"/>
              <w:rPr>
                <w:b/>
                <w:bCs/>
                <w:color w:val="1E1E1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79A1" w:rsidRDefault="00C979A1" w:rsidP="00F55AE3">
            <w:pPr>
              <w:suppressAutoHyphens w:val="0"/>
              <w:rPr>
                <w:b/>
                <w:bCs/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2014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2015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2016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год</w:t>
            </w: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1.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Улучшение внешнего благоустройства, озеленения и санитарного состояния улиц, ремонт систем водоснабжения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Республиканский бюджет, местный бюджет</w:t>
            </w:r>
          </w:p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90,0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235,0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235,0</w:t>
            </w:r>
          </w:p>
        </w:tc>
      </w:tr>
      <w:tr w:rsidR="00C979A1" w:rsidTr="00C979A1">
        <w:trPr>
          <w:trHeight w:val="954"/>
        </w:trPr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2.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Обеспечение уличным освещением населенного пункта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Республиканский бюджет, местный бюджет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165,0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165,0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165,0</w:t>
            </w: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Содержание мест захоронения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Республиканский бюджет, местный бюджет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60,0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0</w:t>
            </w:r>
          </w:p>
        </w:tc>
      </w:tr>
      <w:tr w:rsidR="00C979A1" w:rsidTr="00C979A1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ВСЕГО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979A1" w:rsidRDefault="00C979A1" w:rsidP="00F55AE3">
            <w:pPr>
              <w:spacing w:line="204" w:lineRule="atLeast"/>
              <w:jc w:val="center"/>
              <w:rPr>
                <w:color w:val="1E1E1E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315,0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400,0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  <w:hideMark/>
          </w:tcPr>
          <w:p w:rsidR="00C979A1" w:rsidRDefault="00C979A1" w:rsidP="00F55AE3">
            <w:pPr>
              <w:spacing w:line="204" w:lineRule="atLeast"/>
              <w:rPr>
                <w:color w:val="1E1E1E"/>
              </w:rPr>
            </w:pPr>
            <w:r>
              <w:rPr>
                <w:color w:val="1E1E1E"/>
              </w:rPr>
              <w:t>400,0</w:t>
            </w:r>
          </w:p>
        </w:tc>
      </w:tr>
    </w:tbl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t>Объемы финансирования программы носят прогнозный характер и подлежат корректировке исходя из возможностей бюджета  сельского поселения.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</w:p>
    <w:p w:rsidR="00C979A1" w:rsidRDefault="00C979A1" w:rsidP="00C979A1">
      <w:pPr>
        <w:spacing w:line="204" w:lineRule="atLeast"/>
        <w:ind w:firstLine="120"/>
        <w:jc w:val="center"/>
        <w:rPr>
          <w:color w:val="1E1E1E"/>
        </w:rPr>
      </w:pPr>
      <w:r>
        <w:rPr>
          <w:b/>
          <w:bCs/>
          <w:color w:val="1E1E1E"/>
        </w:rPr>
        <w:t>9. Система управления реализацией программы</w:t>
      </w:r>
      <w:r>
        <w:rPr>
          <w:b/>
          <w:bCs/>
          <w:i/>
          <w:iCs/>
          <w:color w:val="1E1E1E"/>
        </w:rPr>
        <w:t>.</w:t>
      </w:r>
    </w:p>
    <w:p w:rsidR="00C979A1" w:rsidRDefault="00C979A1" w:rsidP="00C979A1">
      <w:pPr>
        <w:spacing w:line="204" w:lineRule="atLeast"/>
        <w:ind w:firstLine="120"/>
        <w:rPr>
          <w:color w:val="1E1E1E"/>
        </w:rPr>
      </w:pPr>
      <w:r>
        <w:rPr>
          <w:color w:val="1E1E1E"/>
        </w:rPr>
        <w:lastRenderedPageBreak/>
        <w:br/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Управление реализацией Программы осуществляет администрация сельского поселения </w:t>
      </w:r>
      <w:r>
        <w:rPr>
          <w:bCs/>
          <w:color w:val="1E1E1E"/>
        </w:rPr>
        <w:t>Тятер-Араслановский</w:t>
      </w:r>
      <w:r>
        <w:rPr>
          <w:color w:val="1E1E1E"/>
        </w:rPr>
        <w:t xml:space="preserve"> сельсовет муниципального района Стерлибашевский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Руководителем Программы является глава сельского поселения.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Администрация сельского поселения </w:t>
      </w:r>
      <w:r>
        <w:rPr>
          <w:bCs/>
          <w:color w:val="1E1E1E"/>
        </w:rPr>
        <w:t>Тятер-Араслановский</w:t>
      </w:r>
      <w:r>
        <w:rPr>
          <w:color w:val="1E1E1E"/>
        </w:rPr>
        <w:t xml:space="preserve"> сельсовет муниципального района Стерлибашевский район Республики Башкортостан: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- определяет наиболее эффективные формы по реализации Программы;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- обеспечивает </w:t>
      </w:r>
      <w:proofErr w:type="gramStart"/>
      <w:r>
        <w:rPr>
          <w:color w:val="1E1E1E"/>
        </w:rPr>
        <w:t>контроль за</w:t>
      </w:r>
      <w:proofErr w:type="gramEnd"/>
      <w:r>
        <w:rPr>
          <w:color w:val="1E1E1E"/>
        </w:rPr>
        <w:t xml:space="preserve"> реализацией Программы, в том числе за целевым и эффективным использованием средств бюджета сельского поселения, контроль за сроками выполнения программы;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 xml:space="preserve">- осуществляет сбор и систематизацию статистической и аналитической информации о ходе выполнения </w:t>
      </w:r>
      <w:proofErr w:type="gramStart"/>
      <w:r>
        <w:rPr>
          <w:color w:val="1E1E1E"/>
        </w:rPr>
        <w:t>программных</w:t>
      </w:r>
      <w:proofErr w:type="gramEnd"/>
      <w:r>
        <w:rPr>
          <w:color w:val="1E1E1E"/>
        </w:rPr>
        <w:t xml:space="preserve"> мероприятий;</w:t>
      </w:r>
    </w:p>
    <w:p w:rsidR="00C979A1" w:rsidRDefault="00C979A1" w:rsidP="00C979A1">
      <w:pPr>
        <w:spacing w:line="204" w:lineRule="atLeast"/>
        <w:ind w:firstLine="120"/>
        <w:jc w:val="both"/>
        <w:rPr>
          <w:color w:val="1E1E1E"/>
        </w:rPr>
      </w:pPr>
      <w:r>
        <w:rPr>
          <w:color w:val="1E1E1E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C979A1" w:rsidRDefault="00C979A1" w:rsidP="00C979A1">
      <w:pPr>
        <w:jc w:val="both"/>
      </w:pPr>
    </w:p>
    <w:p w:rsidR="00C979A1" w:rsidRDefault="00C979A1" w:rsidP="00C979A1">
      <w:pPr>
        <w:jc w:val="center"/>
        <w:rPr>
          <w:sz w:val="28"/>
          <w:szCs w:val="28"/>
        </w:rPr>
      </w:pPr>
    </w:p>
    <w:p w:rsidR="00C979A1" w:rsidRDefault="00C979A1" w:rsidP="00C979A1">
      <w:pPr>
        <w:jc w:val="center"/>
        <w:rPr>
          <w:sz w:val="28"/>
          <w:szCs w:val="28"/>
        </w:rPr>
      </w:pPr>
    </w:p>
    <w:p w:rsidR="00C979A1" w:rsidRDefault="00C979A1" w:rsidP="00C979A1">
      <w:pPr>
        <w:jc w:val="center"/>
        <w:rPr>
          <w:sz w:val="28"/>
          <w:szCs w:val="28"/>
        </w:rPr>
      </w:pPr>
    </w:p>
    <w:p w:rsidR="00C979A1" w:rsidRDefault="00C979A1" w:rsidP="00C979A1">
      <w:pPr>
        <w:jc w:val="center"/>
        <w:rPr>
          <w:sz w:val="28"/>
          <w:szCs w:val="28"/>
        </w:rPr>
      </w:pPr>
    </w:p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86570"/>
    <w:multiLevelType w:val="hybridMultilevel"/>
    <w:tmpl w:val="8A72AD24"/>
    <w:lvl w:ilvl="0" w:tplc="0AF6F31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F"/>
    <w:rsid w:val="00470EFF"/>
    <w:rsid w:val="005820F3"/>
    <w:rsid w:val="00687B8A"/>
    <w:rsid w:val="00C979A1"/>
    <w:rsid w:val="00C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79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9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79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79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1862</Words>
  <Characters>10619</Characters>
  <Application>Microsoft Office Word</Application>
  <DocSecurity>0</DocSecurity>
  <Lines>88</Lines>
  <Paragraphs>24</Paragraphs>
  <ScaleCrop>false</ScaleCrop>
  <Company>Microsoft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2014-04-04T13:09:00Z</dcterms:created>
  <dcterms:modified xsi:type="dcterms:W3CDTF">2014-04-04T13:10:00Z</dcterms:modified>
</cp:coreProperties>
</file>